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3B" w:rsidRDefault="00767BC1">
      <w:r w:rsidRPr="000C611C">
        <w:rPr>
          <w:rFonts w:ascii="Franklin Gothic Medium" w:hAnsi="Franklin Gothic Medium" w:cs="Arial"/>
          <w:b/>
          <w:noProof/>
          <w:sz w:val="16"/>
          <w:szCs w:val="16"/>
        </w:rPr>
        <w:drawing>
          <wp:anchor distT="0" distB="0" distL="114300" distR="114300" simplePos="0" relativeHeight="251661312" behindDoc="0" locked="0" layoutInCell="1" allowOverlap="1" wp14:anchorId="23D44860" wp14:editId="21E94087">
            <wp:simplePos x="0" y="0"/>
            <wp:positionH relativeFrom="column">
              <wp:posOffset>4956175</wp:posOffset>
            </wp:positionH>
            <wp:positionV relativeFrom="paragraph">
              <wp:posOffset>184150</wp:posOffset>
            </wp:positionV>
            <wp:extent cx="989330" cy="956310"/>
            <wp:effectExtent l="0" t="0" r="1270" b="8890"/>
            <wp:wrapTight wrapText="bothSides">
              <wp:wrapPolygon edited="0">
                <wp:start x="9427" y="0"/>
                <wp:lineTo x="0" y="9753"/>
                <wp:lineTo x="0" y="16637"/>
                <wp:lineTo x="1664" y="18932"/>
                <wp:lineTo x="8318" y="21227"/>
                <wp:lineTo x="12200" y="21227"/>
                <wp:lineTo x="12755" y="18932"/>
                <wp:lineTo x="18855" y="18932"/>
                <wp:lineTo x="21073" y="16637"/>
                <wp:lineTo x="21073" y="9753"/>
                <wp:lineTo x="12200" y="0"/>
                <wp:lineTo x="94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89330" cy="956310"/>
                    </a:xfrm>
                    <a:prstGeom prst="rect">
                      <a:avLst/>
                    </a:prstGeom>
                  </pic:spPr>
                </pic:pic>
              </a:graphicData>
            </a:graphic>
            <wp14:sizeRelH relativeFrom="page">
              <wp14:pctWidth>0</wp14:pctWidth>
            </wp14:sizeRelH>
            <wp14:sizeRelV relativeFrom="page">
              <wp14:pctHeight>0</wp14:pctHeight>
            </wp14:sizeRelV>
          </wp:anchor>
        </w:drawing>
      </w:r>
      <w:r w:rsidRPr="000C611C">
        <w:rPr>
          <w:rFonts w:ascii="Franklin Gothic Medium" w:hAnsi="Franklin Gothic Medium" w:cs="Arial"/>
          <w:b/>
          <w:noProof/>
          <w:sz w:val="16"/>
          <w:szCs w:val="16"/>
        </w:rPr>
        <w:drawing>
          <wp:anchor distT="0" distB="0" distL="114300" distR="114300" simplePos="0" relativeHeight="251659264" behindDoc="0" locked="0" layoutInCell="1" allowOverlap="1" wp14:anchorId="23D44860" wp14:editId="21E94087">
            <wp:simplePos x="0" y="0"/>
            <wp:positionH relativeFrom="column">
              <wp:posOffset>0</wp:posOffset>
            </wp:positionH>
            <wp:positionV relativeFrom="paragraph">
              <wp:posOffset>186055</wp:posOffset>
            </wp:positionV>
            <wp:extent cx="989330" cy="956310"/>
            <wp:effectExtent l="0" t="0" r="1270" b="8890"/>
            <wp:wrapTight wrapText="bothSides">
              <wp:wrapPolygon edited="0">
                <wp:start x="9427" y="0"/>
                <wp:lineTo x="0" y="9753"/>
                <wp:lineTo x="0" y="16637"/>
                <wp:lineTo x="1664" y="18932"/>
                <wp:lineTo x="8318" y="21227"/>
                <wp:lineTo x="12200" y="21227"/>
                <wp:lineTo x="12755" y="18932"/>
                <wp:lineTo x="18855" y="18932"/>
                <wp:lineTo x="21073" y="16637"/>
                <wp:lineTo x="21073" y="9753"/>
                <wp:lineTo x="12200" y="0"/>
                <wp:lineTo x="94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89330" cy="956310"/>
                    </a:xfrm>
                    <a:prstGeom prst="rect">
                      <a:avLst/>
                    </a:prstGeom>
                  </pic:spPr>
                </pic:pic>
              </a:graphicData>
            </a:graphic>
            <wp14:sizeRelH relativeFrom="page">
              <wp14:pctWidth>0</wp14:pctWidth>
            </wp14:sizeRelH>
            <wp14:sizeRelV relativeFrom="page">
              <wp14:pctHeight>0</wp14:pctHeight>
            </wp14:sizeRelV>
          </wp:anchor>
        </w:drawing>
      </w:r>
    </w:p>
    <w:p w:rsidR="00767BC1" w:rsidRDefault="00767BC1"/>
    <w:p w:rsidR="00767BC1" w:rsidRDefault="00767BC1"/>
    <w:p w:rsidR="00767BC1" w:rsidRDefault="00767BC1"/>
    <w:p w:rsidR="00767BC1" w:rsidRPr="00767BC1" w:rsidRDefault="00767BC1">
      <w:pPr>
        <w:rPr>
          <w:b/>
          <w:sz w:val="44"/>
          <w:szCs w:val="44"/>
        </w:rPr>
      </w:pPr>
      <w:r>
        <w:t xml:space="preserve"> </w:t>
      </w:r>
      <w:r>
        <w:rPr>
          <w:b/>
          <w:sz w:val="44"/>
          <w:szCs w:val="44"/>
        </w:rPr>
        <w:t xml:space="preserve">Parent Focus Group </w:t>
      </w:r>
      <w:r w:rsidRPr="00767BC1">
        <w:rPr>
          <w:b/>
          <w:sz w:val="44"/>
          <w:szCs w:val="44"/>
        </w:rPr>
        <w:t>Discussion</w:t>
      </w:r>
    </w:p>
    <w:tbl>
      <w:tblPr>
        <w:tblStyle w:val="TableGrid"/>
        <w:tblW w:w="0" w:type="auto"/>
        <w:tblInd w:w="-431" w:type="dxa"/>
        <w:tblLook w:val="04A0" w:firstRow="1" w:lastRow="0" w:firstColumn="1" w:lastColumn="0" w:noHBand="0" w:noVBand="1"/>
      </w:tblPr>
      <w:tblGrid>
        <w:gridCol w:w="4821"/>
        <w:gridCol w:w="2585"/>
        <w:gridCol w:w="2375"/>
      </w:tblGrid>
      <w:tr w:rsidR="002A343B" w:rsidTr="00767BC1">
        <w:tc>
          <w:tcPr>
            <w:tcW w:w="4821" w:type="dxa"/>
          </w:tcPr>
          <w:p w:rsidR="002A343B" w:rsidRPr="002A343B" w:rsidRDefault="002A343B">
            <w:pPr>
              <w:rPr>
                <w:b/>
              </w:rPr>
            </w:pPr>
            <w:r w:rsidRPr="002A343B">
              <w:rPr>
                <w:b/>
              </w:rPr>
              <w:t>Programs of Focus 2018-2019</w:t>
            </w:r>
          </w:p>
        </w:tc>
        <w:tc>
          <w:tcPr>
            <w:tcW w:w="2585" w:type="dxa"/>
          </w:tcPr>
          <w:p w:rsidR="002A343B" w:rsidRPr="002A343B" w:rsidRDefault="002A343B">
            <w:pPr>
              <w:rPr>
                <w:b/>
              </w:rPr>
            </w:pPr>
            <w:r>
              <w:rPr>
                <w:b/>
              </w:rPr>
              <w:t xml:space="preserve">Thoughts &amp; </w:t>
            </w:r>
            <w:r w:rsidRPr="002A343B">
              <w:rPr>
                <w:b/>
              </w:rPr>
              <w:t>Reflections</w:t>
            </w:r>
          </w:p>
        </w:tc>
        <w:tc>
          <w:tcPr>
            <w:tcW w:w="2375" w:type="dxa"/>
          </w:tcPr>
          <w:p w:rsidR="002A343B" w:rsidRPr="002A343B" w:rsidRDefault="002A343B">
            <w:pPr>
              <w:rPr>
                <w:b/>
              </w:rPr>
            </w:pPr>
            <w:r w:rsidRPr="002A343B">
              <w:rPr>
                <w:b/>
              </w:rPr>
              <w:t>Ideas Parents would like to see at Mitford School.</w:t>
            </w:r>
          </w:p>
        </w:tc>
      </w:tr>
      <w:tr w:rsidR="002A343B" w:rsidTr="00767BC1">
        <w:tc>
          <w:tcPr>
            <w:tcW w:w="4821" w:type="dxa"/>
          </w:tcPr>
          <w:p w:rsidR="002A343B" w:rsidRDefault="002A343B">
            <w:pPr>
              <w:rPr>
                <w:b/>
              </w:rPr>
            </w:pPr>
            <w:bookmarkStart w:id="0" w:name="_GoBack"/>
            <w:r w:rsidRPr="002A343B">
              <w:rPr>
                <w:b/>
              </w:rPr>
              <w:t>Literacy Program</w:t>
            </w:r>
          </w:p>
          <w:p w:rsidR="00987CB0" w:rsidRDefault="00987CB0" w:rsidP="00987CB0">
            <w:pPr>
              <w:spacing w:before="2"/>
              <w:rPr>
                <w:rFonts w:ascii="Arial" w:eastAsia="Arial" w:hAnsi="Arial" w:cs="Arial"/>
                <w:sz w:val="18"/>
                <w:szCs w:val="18"/>
              </w:rPr>
            </w:pPr>
            <w:r>
              <w:rPr>
                <w:rFonts w:ascii="Arial" w:eastAsia="Arial" w:hAnsi="Arial" w:cs="Arial"/>
                <w:sz w:val="18"/>
                <w:szCs w:val="18"/>
              </w:rPr>
              <w:t>Literacy and Numeracy are foundational to the success of life-long learning. As an essential life skill, literacy and numeracy are embedded in all student learning across all curriculum.  Students at Mitford School are assessed in literacy and numeracy and programming is individualized to meet the learning needs of individual students.</w:t>
            </w:r>
          </w:p>
          <w:p w:rsidR="00987CB0" w:rsidRDefault="00987CB0" w:rsidP="00987CB0">
            <w:pPr>
              <w:spacing w:before="2"/>
              <w:rPr>
                <w:rFonts w:ascii="Arial" w:eastAsia="Arial" w:hAnsi="Arial" w:cs="Arial"/>
                <w:sz w:val="18"/>
                <w:szCs w:val="18"/>
              </w:rPr>
            </w:pPr>
          </w:p>
          <w:p w:rsidR="00987CB0" w:rsidRPr="00603A9A" w:rsidRDefault="00987CB0" w:rsidP="00987CB0">
            <w:pPr>
              <w:spacing w:before="2"/>
              <w:rPr>
                <w:rFonts w:ascii="Arial" w:eastAsia="Arial" w:hAnsi="Arial" w:cs="Arial"/>
                <w:sz w:val="18"/>
                <w:szCs w:val="18"/>
              </w:rPr>
            </w:pPr>
            <w:r w:rsidRPr="00603A9A">
              <w:rPr>
                <w:rFonts w:ascii="Arial" w:eastAsia="Arial" w:hAnsi="Arial" w:cs="Arial"/>
                <w:sz w:val="18"/>
                <w:szCs w:val="18"/>
              </w:rPr>
              <w:t>L</w:t>
            </w:r>
            <w:r w:rsidRPr="00603A9A">
              <w:rPr>
                <w:rFonts w:ascii="Arial" w:eastAsia="Arial" w:hAnsi="Arial" w:cs="Arial"/>
                <w:spacing w:val="1"/>
                <w:sz w:val="18"/>
                <w:szCs w:val="18"/>
              </w:rPr>
              <w:t>i</w:t>
            </w:r>
            <w:r w:rsidRPr="00603A9A">
              <w:rPr>
                <w:rFonts w:ascii="Arial" w:eastAsia="Arial" w:hAnsi="Arial" w:cs="Arial"/>
                <w:sz w:val="18"/>
                <w:szCs w:val="18"/>
              </w:rPr>
              <w:t>teracy</w:t>
            </w:r>
            <w:r w:rsidRPr="00603A9A">
              <w:rPr>
                <w:rFonts w:ascii="Arial" w:eastAsia="Arial" w:hAnsi="Arial" w:cs="Arial"/>
                <w:spacing w:val="-18"/>
                <w:sz w:val="18"/>
                <w:szCs w:val="18"/>
              </w:rPr>
              <w:t xml:space="preserve"> </w:t>
            </w:r>
            <w:r w:rsidRPr="00603A9A">
              <w:rPr>
                <w:rFonts w:ascii="Arial" w:eastAsia="Arial" w:hAnsi="Arial" w:cs="Arial"/>
                <w:sz w:val="18"/>
                <w:szCs w:val="18"/>
              </w:rPr>
              <w:t>P</w:t>
            </w:r>
            <w:r w:rsidRPr="00603A9A">
              <w:rPr>
                <w:rFonts w:ascii="Arial" w:eastAsia="Arial" w:hAnsi="Arial" w:cs="Arial"/>
                <w:spacing w:val="-1"/>
                <w:sz w:val="18"/>
                <w:szCs w:val="18"/>
              </w:rPr>
              <w:t>r</w:t>
            </w:r>
            <w:r w:rsidRPr="00603A9A">
              <w:rPr>
                <w:rFonts w:ascii="Arial" w:eastAsia="Arial" w:hAnsi="Arial" w:cs="Arial"/>
                <w:sz w:val="18"/>
                <w:szCs w:val="18"/>
              </w:rPr>
              <w:t>ogramming includes:</w:t>
            </w:r>
          </w:p>
          <w:p w:rsidR="00987CB0" w:rsidRPr="00410333" w:rsidRDefault="00987CB0" w:rsidP="00987CB0">
            <w:pPr>
              <w:pStyle w:val="BodyText"/>
              <w:numPr>
                <w:ilvl w:val="0"/>
                <w:numId w:val="7"/>
              </w:numPr>
              <w:spacing w:line="241" w:lineRule="auto"/>
              <w:ind w:right="14"/>
              <w:rPr>
                <w:b w:val="0"/>
                <w:sz w:val="18"/>
                <w:szCs w:val="18"/>
              </w:rPr>
            </w:pPr>
            <w:proofErr w:type="spellStart"/>
            <w:r>
              <w:rPr>
                <w:b w:val="0"/>
                <w:spacing w:val="-8"/>
                <w:sz w:val="18"/>
                <w:szCs w:val="18"/>
              </w:rPr>
              <w:t>Fountas</w:t>
            </w:r>
            <w:proofErr w:type="spellEnd"/>
            <w:r>
              <w:rPr>
                <w:b w:val="0"/>
                <w:spacing w:val="-8"/>
                <w:sz w:val="18"/>
                <w:szCs w:val="18"/>
              </w:rPr>
              <w:t xml:space="preserve"> and </w:t>
            </w:r>
            <w:proofErr w:type="spellStart"/>
            <w:r>
              <w:rPr>
                <w:b w:val="0"/>
                <w:spacing w:val="-8"/>
                <w:sz w:val="18"/>
                <w:szCs w:val="18"/>
              </w:rPr>
              <w:t>Pinnell</w:t>
            </w:r>
            <w:proofErr w:type="spellEnd"/>
            <w:r>
              <w:rPr>
                <w:b w:val="0"/>
                <w:spacing w:val="-8"/>
                <w:sz w:val="18"/>
                <w:szCs w:val="18"/>
              </w:rPr>
              <w:t xml:space="preserve"> and RVS Reading Assessments supports a clear understanding of student reading levels.</w:t>
            </w:r>
          </w:p>
          <w:p w:rsidR="00987CB0" w:rsidRPr="00573210" w:rsidRDefault="00987CB0" w:rsidP="00987CB0">
            <w:pPr>
              <w:pStyle w:val="BodyText"/>
              <w:numPr>
                <w:ilvl w:val="0"/>
                <w:numId w:val="7"/>
              </w:numPr>
              <w:spacing w:line="241" w:lineRule="auto"/>
              <w:ind w:right="14"/>
              <w:rPr>
                <w:b w:val="0"/>
                <w:sz w:val="18"/>
                <w:szCs w:val="18"/>
              </w:rPr>
            </w:pPr>
            <w:r>
              <w:rPr>
                <w:b w:val="0"/>
                <w:spacing w:val="-8"/>
                <w:sz w:val="18"/>
                <w:szCs w:val="18"/>
              </w:rPr>
              <w:t>Leveled Literacy Intervention supports students with building decoding, fluency and comprehension skills.</w:t>
            </w:r>
          </w:p>
          <w:p w:rsidR="00987CB0" w:rsidRPr="00BE7E1C" w:rsidRDefault="00987CB0" w:rsidP="00987CB0">
            <w:pPr>
              <w:pStyle w:val="BodyText"/>
              <w:numPr>
                <w:ilvl w:val="0"/>
                <w:numId w:val="7"/>
              </w:numPr>
              <w:spacing w:line="241" w:lineRule="auto"/>
              <w:ind w:right="14"/>
              <w:rPr>
                <w:b w:val="0"/>
                <w:sz w:val="18"/>
                <w:szCs w:val="18"/>
              </w:rPr>
            </w:pPr>
            <w:r>
              <w:rPr>
                <w:b w:val="0"/>
                <w:spacing w:val="-8"/>
                <w:sz w:val="18"/>
                <w:szCs w:val="18"/>
              </w:rPr>
              <w:t>Strategies that are learned in LLI are infused into classroom practice.</w:t>
            </w:r>
          </w:p>
          <w:p w:rsidR="00987CB0" w:rsidRPr="009115DD" w:rsidRDefault="00987CB0" w:rsidP="00987CB0">
            <w:pPr>
              <w:pStyle w:val="BodyText"/>
              <w:numPr>
                <w:ilvl w:val="0"/>
                <w:numId w:val="7"/>
              </w:numPr>
              <w:spacing w:line="241" w:lineRule="auto"/>
              <w:ind w:right="14"/>
              <w:rPr>
                <w:b w:val="0"/>
                <w:sz w:val="18"/>
                <w:szCs w:val="18"/>
              </w:rPr>
            </w:pPr>
            <w:r>
              <w:rPr>
                <w:b w:val="0"/>
                <w:spacing w:val="-8"/>
                <w:sz w:val="18"/>
                <w:szCs w:val="18"/>
              </w:rPr>
              <w:t>Literacy strategies are infused within all courses.</w:t>
            </w:r>
          </w:p>
          <w:p w:rsidR="00987CB0" w:rsidRPr="00A901B5" w:rsidRDefault="00987CB0" w:rsidP="00987CB0">
            <w:pPr>
              <w:pStyle w:val="BodyText"/>
              <w:numPr>
                <w:ilvl w:val="0"/>
                <w:numId w:val="7"/>
              </w:numPr>
              <w:spacing w:line="241" w:lineRule="auto"/>
              <w:ind w:right="14"/>
              <w:rPr>
                <w:b w:val="0"/>
                <w:sz w:val="18"/>
                <w:szCs w:val="18"/>
              </w:rPr>
            </w:pPr>
            <w:r>
              <w:rPr>
                <w:b w:val="0"/>
                <w:spacing w:val="-8"/>
                <w:sz w:val="18"/>
                <w:szCs w:val="18"/>
              </w:rPr>
              <w:t>Literacy coach to work with staff on literacy across all curriculum.</w:t>
            </w:r>
          </w:p>
          <w:p w:rsidR="002A343B" w:rsidRPr="002A343B" w:rsidRDefault="002A343B" w:rsidP="00987CB0">
            <w:pPr>
              <w:pStyle w:val="BodyText"/>
              <w:widowControl w:val="0"/>
              <w:tabs>
                <w:tab w:val="left" w:pos="460"/>
              </w:tabs>
              <w:spacing w:before="32" w:line="216" w:lineRule="exact"/>
              <w:ind w:right="142"/>
              <w:rPr>
                <w:b w:val="0"/>
              </w:rPr>
            </w:pPr>
          </w:p>
        </w:tc>
        <w:tc>
          <w:tcPr>
            <w:tcW w:w="2585" w:type="dxa"/>
          </w:tcPr>
          <w:p w:rsidR="002A343B" w:rsidRDefault="002A343B"/>
        </w:tc>
        <w:tc>
          <w:tcPr>
            <w:tcW w:w="2375" w:type="dxa"/>
          </w:tcPr>
          <w:p w:rsidR="002A343B" w:rsidRDefault="002A343B"/>
        </w:tc>
      </w:tr>
      <w:bookmarkEnd w:id="0"/>
      <w:tr w:rsidR="002A343B" w:rsidTr="00767BC1">
        <w:tc>
          <w:tcPr>
            <w:tcW w:w="4821" w:type="dxa"/>
          </w:tcPr>
          <w:p w:rsidR="002A343B" w:rsidRPr="002A343B" w:rsidRDefault="002A343B">
            <w:pPr>
              <w:rPr>
                <w:b/>
              </w:rPr>
            </w:pPr>
            <w:r w:rsidRPr="002A343B">
              <w:rPr>
                <w:b/>
              </w:rPr>
              <w:t>Numeracy Program</w:t>
            </w:r>
          </w:p>
          <w:p w:rsidR="00987CB0" w:rsidRDefault="00987CB0" w:rsidP="00987CB0">
            <w:pPr>
              <w:rPr>
                <w:rFonts w:ascii="Arial" w:hAnsi="Arial" w:cs="Arial"/>
                <w:sz w:val="18"/>
                <w:szCs w:val="18"/>
                <w:lang w:val="en-CA"/>
              </w:rPr>
            </w:pPr>
            <w:r w:rsidRPr="004773F3">
              <w:rPr>
                <w:rFonts w:ascii="Arial" w:hAnsi="Arial" w:cs="Arial"/>
                <w:sz w:val="18"/>
                <w:szCs w:val="18"/>
                <w:lang w:val="en-CA"/>
              </w:rPr>
              <w:t xml:space="preserve">Efforts have been focused on addressing the </w:t>
            </w:r>
            <w:r>
              <w:rPr>
                <w:rFonts w:ascii="Arial" w:hAnsi="Arial" w:cs="Arial"/>
                <w:sz w:val="18"/>
                <w:szCs w:val="18"/>
                <w:lang w:val="en-CA"/>
              </w:rPr>
              <w:t xml:space="preserve">following </w:t>
            </w:r>
            <w:r w:rsidRPr="004773F3">
              <w:rPr>
                <w:rFonts w:ascii="Arial" w:hAnsi="Arial" w:cs="Arial"/>
                <w:sz w:val="18"/>
                <w:szCs w:val="18"/>
                <w:lang w:val="en-CA"/>
              </w:rPr>
              <w:t xml:space="preserve">mathematical processes: </w:t>
            </w:r>
          </w:p>
          <w:p w:rsidR="00987CB0" w:rsidRDefault="00987CB0" w:rsidP="00987CB0">
            <w:pPr>
              <w:numPr>
                <w:ilvl w:val="0"/>
                <w:numId w:val="6"/>
              </w:numPr>
              <w:rPr>
                <w:rFonts w:ascii="Arial" w:hAnsi="Arial" w:cs="Arial"/>
                <w:sz w:val="18"/>
                <w:szCs w:val="18"/>
                <w:lang w:val="en-CA"/>
              </w:rPr>
            </w:pPr>
            <w:r>
              <w:rPr>
                <w:rFonts w:ascii="Arial" w:hAnsi="Arial" w:cs="Arial"/>
                <w:sz w:val="18"/>
                <w:szCs w:val="18"/>
                <w:lang w:val="en-CA"/>
              </w:rPr>
              <w:t>communicating</w:t>
            </w:r>
            <w:r w:rsidRPr="004773F3">
              <w:rPr>
                <w:rFonts w:ascii="Arial" w:hAnsi="Arial" w:cs="Arial"/>
                <w:sz w:val="18"/>
                <w:szCs w:val="18"/>
                <w:lang w:val="en-CA"/>
              </w:rPr>
              <w:t xml:space="preserve"> </w:t>
            </w:r>
          </w:p>
          <w:p w:rsidR="00987CB0" w:rsidRDefault="00987CB0" w:rsidP="00987CB0">
            <w:pPr>
              <w:numPr>
                <w:ilvl w:val="0"/>
                <w:numId w:val="6"/>
              </w:numPr>
              <w:rPr>
                <w:rFonts w:ascii="Arial" w:hAnsi="Arial" w:cs="Arial"/>
                <w:sz w:val="18"/>
                <w:szCs w:val="18"/>
                <w:lang w:val="en-CA"/>
              </w:rPr>
            </w:pPr>
            <w:r>
              <w:rPr>
                <w:rFonts w:ascii="Arial" w:hAnsi="Arial" w:cs="Arial"/>
                <w:sz w:val="18"/>
                <w:szCs w:val="18"/>
                <w:lang w:val="en-CA"/>
              </w:rPr>
              <w:t>connecting</w:t>
            </w:r>
            <w:r w:rsidRPr="004773F3">
              <w:rPr>
                <w:rFonts w:ascii="Arial" w:hAnsi="Arial" w:cs="Arial"/>
                <w:sz w:val="18"/>
                <w:szCs w:val="18"/>
                <w:lang w:val="en-CA"/>
              </w:rPr>
              <w:t xml:space="preserve"> </w:t>
            </w:r>
          </w:p>
          <w:p w:rsidR="00987CB0" w:rsidRDefault="00987CB0" w:rsidP="00987CB0">
            <w:pPr>
              <w:numPr>
                <w:ilvl w:val="0"/>
                <w:numId w:val="6"/>
              </w:numPr>
              <w:rPr>
                <w:rFonts w:ascii="Arial" w:hAnsi="Arial" w:cs="Arial"/>
                <w:sz w:val="18"/>
                <w:szCs w:val="18"/>
                <w:lang w:val="en-CA"/>
              </w:rPr>
            </w:pPr>
            <w:r w:rsidRPr="004773F3">
              <w:rPr>
                <w:rFonts w:ascii="Arial" w:hAnsi="Arial" w:cs="Arial"/>
                <w:sz w:val="18"/>
                <w:szCs w:val="18"/>
                <w:lang w:val="en-CA"/>
              </w:rPr>
              <w:t>u</w:t>
            </w:r>
            <w:r>
              <w:rPr>
                <w:rFonts w:ascii="Arial" w:hAnsi="Arial" w:cs="Arial"/>
                <w:sz w:val="18"/>
                <w:szCs w:val="18"/>
                <w:lang w:val="en-CA"/>
              </w:rPr>
              <w:t>sing mental math and estimation</w:t>
            </w:r>
            <w:r w:rsidRPr="004773F3">
              <w:rPr>
                <w:rFonts w:ascii="Arial" w:hAnsi="Arial" w:cs="Arial"/>
                <w:sz w:val="18"/>
                <w:szCs w:val="18"/>
                <w:lang w:val="en-CA"/>
              </w:rPr>
              <w:t xml:space="preserve"> </w:t>
            </w:r>
          </w:p>
          <w:p w:rsidR="00987CB0" w:rsidRDefault="00987CB0" w:rsidP="00987CB0">
            <w:pPr>
              <w:numPr>
                <w:ilvl w:val="0"/>
                <w:numId w:val="6"/>
              </w:numPr>
              <w:rPr>
                <w:rFonts w:ascii="Arial" w:hAnsi="Arial" w:cs="Arial"/>
                <w:sz w:val="18"/>
                <w:szCs w:val="18"/>
                <w:lang w:val="en-CA"/>
              </w:rPr>
            </w:pPr>
            <w:r>
              <w:rPr>
                <w:rFonts w:ascii="Arial" w:hAnsi="Arial" w:cs="Arial"/>
                <w:sz w:val="18"/>
                <w:szCs w:val="18"/>
                <w:lang w:val="en-CA"/>
              </w:rPr>
              <w:t>problem solving</w:t>
            </w:r>
            <w:r w:rsidRPr="004773F3">
              <w:rPr>
                <w:rFonts w:ascii="Arial" w:hAnsi="Arial" w:cs="Arial"/>
                <w:sz w:val="18"/>
                <w:szCs w:val="18"/>
                <w:lang w:val="en-CA"/>
              </w:rPr>
              <w:t xml:space="preserve"> </w:t>
            </w:r>
          </w:p>
          <w:p w:rsidR="00987CB0" w:rsidRDefault="00987CB0" w:rsidP="00987CB0">
            <w:pPr>
              <w:numPr>
                <w:ilvl w:val="0"/>
                <w:numId w:val="6"/>
              </w:numPr>
              <w:rPr>
                <w:rFonts w:ascii="Arial" w:hAnsi="Arial" w:cs="Arial"/>
                <w:sz w:val="18"/>
                <w:szCs w:val="18"/>
                <w:lang w:val="en-CA"/>
              </w:rPr>
            </w:pPr>
            <w:r>
              <w:rPr>
                <w:rFonts w:ascii="Arial" w:hAnsi="Arial" w:cs="Arial"/>
                <w:sz w:val="18"/>
                <w:szCs w:val="18"/>
                <w:lang w:val="en-CA"/>
              </w:rPr>
              <w:t>reasoning</w:t>
            </w:r>
            <w:r w:rsidRPr="004773F3">
              <w:rPr>
                <w:rFonts w:ascii="Arial" w:hAnsi="Arial" w:cs="Arial"/>
                <w:sz w:val="18"/>
                <w:szCs w:val="18"/>
                <w:lang w:val="en-CA"/>
              </w:rPr>
              <w:t xml:space="preserve"> </w:t>
            </w:r>
          </w:p>
          <w:p w:rsidR="00987CB0" w:rsidRDefault="00987CB0" w:rsidP="00987CB0">
            <w:pPr>
              <w:numPr>
                <w:ilvl w:val="0"/>
                <w:numId w:val="6"/>
              </w:numPr>
              <w:rPr>
                <w:rFonts w:ascii="Arial" w:hAnsi="Arial" w:cs="Arial"/>
                <w:sz w:val="18"/>
                <w:szCs w:val="18"/>
                <w:lang w:val="en-CA"/>
              </w:rPr>
            </w:pPr>
            <w:r>
              <w:rPr>
                <w:rFonts w:ascii="Arial" w:hAnsi="Arial" w:cs="Arial"/>
                <w:sz w:val="18"/>
                <w:szCs w:val="18"/>
                <w:lang w:val="en-CA"/>
              </w:rPr>
              <w:t>visualising</w:t>
            </w:r>
          </w:p>
          <w:p w:rsidR="00987CB0" w:rsidRDefault="00987CB0" w:rsidP="00987CB0">
            <w:pPr>
              <w:ind w:left="720"/>
              <w:rPr>
                <w:rFonts w:ascii="Arial" w:hAnsi="Arial" w:cs="Arial"/>
                <w:sz w:val="18"/>
                <w:szCs w:val="18"/>
                <w:lang w:val="en-CA"/>
              </w:rPr>
            </w:pPr>
          </w:p>
          <w:p w:rsidR="00987CB0" w:rsidRDefault="00987CB0" w:rsidP="00987CB0">
            <w:pPr>
              <w:rPr>
                <w:rFonts w:ascii="Arial" w:hAnsi="Arial" w:cs="Arial"/>
                <w:sz w:val="18"/>
                <w:szCs w:val="18"/>
                <w:lang w:val="en-CA"/>
              </w:rPr>
            </w:pPr>
            <w:r>
              <w:rPr>
                <w:rFonts w:ascii="Arial" w:hAnsi="Arial" w:cs="Arial"/>
                <w:sz w:val="18"/>
                <w:szCs w:val="18"/>
                <w:lang w:val="en-CA"/>
              </w:rPr>
              <w:t>Grades 6</w:t>
            </w:r>
            <w:r w:rsidRPr="004773F3">
              <w:rPr>
                <w:rFonts w:ascii="Arial" w:hAnsi="Arial" w:cs="Arial"/>
                <w:sz w:val="18"/>
                <w:szCs w:val="18"/>
                <w:lang w:val="en-CA"/>
              </w:rPr>
              <w:t xml:space="preserve">-8 </w:t>
            </w:r>
            <w:r>
              <w:rPr>
                <w:rFonts w:ascii="Arial" w:hAnsi="Arial" w:cs="Arial"/>
                <w:sz w:val="18"/>
                <w:szCs w:val="18"/>
                <w:lang w:val="en-CA"/>
              </w:rPr>
              <w:t xml:space="preserve">math </w:t>
            </w:r>
            <w:r w:rsidRPr="004773F3">
              <w:rPr>
                <w:rFonts w:ascii="Arial" w:hAnsi="Arial" w:cs="Arial"/>
                <w:sz w:val="18"/>
                <w:szCs w:val="18"/>
                <w:lang w:val="en-CA"/>
              </w:rPr>
              <w:t xml:space="preserve">teachers collaborated </w:t>
            </w:r>
            <w:r>
              <w:rPr>
                <w:rFonts w:ascii="Arial" w:hAnsi="Arial" w:cs="Arial"/>
                <w:sz w:val="18"/>
                <w:szCs w:val="18"/>
                <w:lang w:val="en-CA"/>
              </w:rPr>
              <w:t>during</w:t>
            </w:r>
            <w:r w:rsidRPr="004773F3">
              <w:rPr>
                <w:rFonts w:ascii="Arial" w:hAnsi="Arial" w:cs="Arial"/>
                <w:sz w:val="18"/>
                <w:szCs w:val="18"/>
                <w:lang w:val="en-CA"/>
              </w:rPr>
              <w:t xml:space="preserve"> several professional learning workshops throughout the year, in consultation with </w:t>
            </w:r>
            <w:r>
              <w:rPr>
                <w:rFonts w:ascii="Arial" w:hAnsi="Arial" w:cs="Arial"/>
                <w:sz w:val="18"/>
                <w:szCs w:val="18"/>
                <w:lang w:val="en-CA"/>
              </w:rPr>
              <w:t>Num</w:t>
            </w:r>
            <w:r w:rsidRPr="004773F3">
              <w:rPr>
                <w:rFonts w:ascii="Arial" w:hAnsi="Arial" w:cs="Arial"/>
                <w:sz w:val="18"/>
                <w:szCs w:val="18"/>
                <w:lang w:val="en-CA"/>
              </w:rPr>
              <w:t>er</w:t>
            </w:r>
            <w:r>
              <w:rPr>
                <w:rFonts w:ascii="Arial" w:hAnsi="Arial" w:cs="Arial"/>
                <w:sz w:val="18"/>
                <w:szCs w:val="18"/>
                <w:lang w:val="en-CA"/>
              </w:rPr>
              <w:t>acy Specialist, Rosalind Carson</w:t>
            </w:r>
            <w:r w:rsidRPr="004773F3">
              <w:rPr>
                <w:rFonts w:ascii="Arial" w:hAnsi="Arial" w:cs="Arial"/>
                <w:sz w:val="18"/>
                <w:szCs w:val="18"/>
                <w:lang w:val="en-CA"/>
              </w:rPr>
              <w:t>. Discussion and learning revolved around the strengths and n</w:t>
            </w:r>
            <w:r>
              <w:rPr>
                <w:rFonts w:ascii="Arial" w:hAnsi="Arial" w:cs="Arial"/>
                <w:sz w:val="18"/>
                <w:szCs w:val="18"/>
                <w:lang w:val="en-CA"/>
              </w:rPr>
              <w:t>eeds that we are witnessing among our student population.</w:t>
            </w:r>
            <w:r w:rsidRPr="004773F3">
              <w:rPr>
                <w:rFonts w:ascii="Arial" w:hAnsi="Arial" w:cs="Arial"/>
                <w:sz w:val="18"/>
                <w:szCs w:val="18"/>
                <w:lang w:val="en-CA"/>
              </w:rPr>
              <w:t xml:space="preserve"> Teachers examined best practice around developing mathematical fluency with conceptual understanding.</w:t>
            </w:r>
            <w:r>
              <w:rPr>
                <w:rFonts w:ascii="Arial" w:hAnsi="Arial" w:cs="Arial"/>
                <w:sz w:val="18"/>
                <w:szCs w:val="18"/>
                <w:lang w:val="en-CA"/>
              </w:rPr>
              <w:t xml:space="preserve"> </w:t>
            </w:r>
          </w:p>
          <w:p w:rsidR="00987CB0" w:rsidRDefault="00987CB0" w:rsidP="00987CB0">
            <w:pPr>
              <w:rPr>
                <w:rFonts w:ascii="Arial" w:hAnsi="Arial" w:cs="Arial"/>
                <w:sz w:val="18"/>
                <w:szCs w:val="18"/>
                <w:lang w:val="en-CA"/>
              </w:rPr>
            </w:pPr>
          </w:p>
          <w:p w:rsidR="00987CB0" w:rsidRPr="004773F3" w:rsidRDefault="00987CB0" w:rsidP="00987CB0">
            <w:pPr>
              <w:rPr>
                <w:rFonts w:ascii="Arial" w:hAnsi="Arial" w:cs="Arial"/>
                <w:sz w:val="18"/>
                <w:szCs w:val="18"/>
                <w:lang w:val="en-CA"/>
              </w:rPr>
            </w:pPr>
            <w:r>
              <w:rPr>
                <w:rFonts w:ascii="Arial" w:hAnsi="Arial" w:cs="Arial"/>
                <w:sz w:val="18"/>
                <w:szCs w:val="18"/>
                <w:lang w:val="en-CA"/>
              </w:rPr>
              <w:t>Assessment tools are used to provide data to guide programming. Numeracy support using the</w:t>
            </w:r>
            <w:r w:rsidRPr="004773F3">
              <w:rPr>
                <w:rFonts w:ascii="Arial" w:hAnsi="Arial" w:cs="Arial"/>
                <w:sz w:val="18"/>
                <w:szCs w:val="18"/>
                <w:lang w:val="en-CA"/>
              </w:rPr>
              <w:t xml:space="preserve"> Jump Math program was used effectively for those students needing to fill in some of the gaps in mathematical reasoning.</w:t>
            </w:r>
          </w:p>
          <w:p w:rsidR="00987CB0" w:rsidRPr="004773F3" w:rsidRDefault="00987CB0" w:rsidP="00987CB0">
            <w:pPr>
              <w:rPr>
                <w:rFonts w:ascii="Arial" w:hAnsi="Arial" w:cs="Arial"/>
                <w:sz w:val="18"/>
                <w:szCs w:val="18"/>
                <w:lang w:val="en-CA"/>
              </w:rPr>
            </w:pPr>
            <w:r w:rsidRPr="004773F3">
              <w:rPr>
                <w:rFonts w:ascii="Arial" w:hAnsi="Arial" w:cs="Arial"/>
                <w:sz w:val="18"/>
                <w:szCs w:val="18"/>
                <w:lang w:val="en-CA"/>
              </w:rPr>
              <w:t xml:space="preserve">Cross-grade planning continues </w:t>
            </w:r>
            <w:r>
              <w:rPr>
                <w:rFonts w:ascii="Arial" w:hAnsi="Arial" w:cs="Arial"/>
                <w:sz w:val="18"/>
                <w:szCs w:val="18"/>
                <w:lang w:val="en-CA"/>
              </w:rPr>
              <w:t>as</w:t>
            </w:r>
            <w:r w:rsidRPr="004773F3">
              <w:rPr>
                <w:rFonts w:ascii="Arial" w:hAnsi="Arial" w:cs="Arial"/>
                <w:sz w:val="18"/>
                <w:szCs w:val="18"/>
                <w:lang w:val="en-CA"/>
              </w:rPr>
              <w:t xml:space="preserve"> students are connected for cross-grade activities</w:t>
            </w:r>
            <w:r>
              <w:rPr>
                <w:rFonts w:ascii="Arial" w:hAnsi="Arial" w:cs="Arial"/>
                <w:sz w:val="18"/>
                <w:szCs w:val="18"/>
                <w:lang w:val="en-CA"/>
              </w:rPr>
              <w:t xml:space="preserve"> which encourage further</w:t>
            </w:r>
            <w:r w:rsidRPr="0044061E">
              <w:rPr>
                <w:rFonts w:ascii="Arial" w:hAnsi="Arial" w:cs="Arial"/>
                <w:sz w:val="18"/>
                <w:szCs w:val="18"/>
                <w:lang w:val="en-CA"/>
              </w:rPr>
              <w:t xml:space="preserve"> conversations about what they are learning and </w:t>
            </w:r>
            <w:r>
              <w:rPr>
                <w:rFonts w:ascii="Arial" w:hAnsi="Arial" w:cs="Arial"/>
                <w:sz w:val="18"/>
                <w:szCs w:val="18"/>
                <w:lang w:val="en-CA"/>
              </w:rPr>
              <w:t xml:space="preserve">assisting them with </w:t>
            </w:r>
            <w:r w:rsidRPr="0044061E">
              <w:rPr>
                <w:rFonts w:ascii="Arial" w:hAnsi="Arial" w:cs="Arial"/>
                <w:sz w:val="18"/>
                <w:szCs w:val="18"/>
                <w:lang w:val="en-CA"/>
              </w:rPr>
              <w:t>construct</w:t>
            </w:r>
            <w:r>
              <w:rPr>
                <w:rFonts w:ascii="Arial" w:hAnsi="Arial" w:cs="Arial"/>
                <w:sz w:val="18"/>
                <w:szCs w:val="18"/>
                <w:lang w:val="en-CA"/>
              </w:rPr>
              <w:t>ion of mathematical</w:t>
            </w:r>
            <w:r w:rsidRPr="0044061E">
              <w:rPr>
                <w:rFonts w:ascii="Arial" w:hAnsi="Arial" w:cs="Arial"/>
                <w:sz w:val="18"/>
                <w:szCs w:val="18"/>
                <w:lang w:val="en-CA"/>
              </w:rPr>
              <w:t xml:space="preserve"> ideas.</w:t>
            </w:r>
          </w:p>
          <w:p w:rsidR="002A343B" w:rsidRPr="002A343B" w:rsidRDefault="002A343B" w:rsidP="00987CB0">
            <w:pPr>
              <w:pStyle w:val="BodyText"/>
              <w:widowControl w:val="0"/>
              <w:tabs>
                <w:tab w:val="left" w:pos="460"/>
              </w:tabs>
              <w:spacing w:before="22" w:line="216" w:lineRule="exact"/>
              <w:ind w:right="212"/>
              <w:jc w:val="both"/>
              <w:rPr>
                <w:b w:val="0"/>
              </w:rPr>
            </w:pPr>
          </w:p>
        </w:tc>
        <w:tc>
          <w:tcPr>
            <w:tcW w:w="2585" w:type="dxa"/>
          </w:tcPr>
          <w:p w:rsidR="002A343B" w:rsidRDefault="002A343B"/>
        </w:tc>
        <w:tc>
          <w:tcPr>
            <w:tcW w:w="2375" w:type="dxa"/>
          </w:tcPr>
          <w:p w:rsidR="002A343B" w:rsidRDefault="002A343B"/>
        </w:tc>
      </w:tr>
      <w:tr w:rsidR="002A343B" w:rsidTr="00767BC1">
        <w:tc>
          <w:tcPr>
            <w:tcW w:w="4821" w:type="dxa"/>
          </w:tcPr>
          <w:p w:rsidR="002A343B" w:rsidRDefault="002A343B">
            <w:pPr>
              <w:rPr>
                <w:b/>
              </w:rPr>
            </w:pPr>
            <w:r w:rsidRPr="002A343B">
              <w:rPr>
                <w:b/>
              </w:rPr>
              <w:lastRenderedPageBreak/>
              <w:t>Comprehensive Wellness Program</w:t>
            </w:r>
          </w:p>
          <w:p w:rsidR="004A2E3B" w:rsidRDefault="004A2E3B" w:rsidP="004A2E3B">
            <w:pPr>
              <w:rPr>
                <w:lang w:val="en-CA"/>
              </w:rPr>
            </w:pPr>
            <w:r>
              <w:rPr>
                <w:rFonts w:ascii="Arial" w:hAnsi="Arial" w:cs="Arial"/>
                <w:sz w:val="18"/>
                <w:szCs w:val="18"/>
              </w:rPr>
              <w:t xml:space="preserve">At Mitford School, social and emotional learning builds </w:t>
            </w:r>
            <w:r w:rsidRPr="005321C7">
              <w:rPr>
                <w:rFonts w:ascii="Arial" w:hAnsi="Arial" w:cs="Arial"/>
                <w:sz w:val="18"/>
                <w:szCs w:val="18"/>
              </w:rPr>
              <w:t>self-awareness, self-management, social awareness, responsible decision making and relationship skills</w:t>
            </w:r>
            <w:r>
              <w:rPr>
                <w:rFonts w:ascii="Arial" w:hAnsi="Arial" w:cs="Arial"/>
                <w:sz w:val="18"/>
                <w:szCs w:val="18"/>
              </w:rPr>
              <w:t xml:space="preserve"> within the context of the classroom. Our goal this year was to support students in acquiring the understandings, attitudes and skills needed to recognize and manage their emotions, demonstrate care and compassion for others, foster healthy relationships, collaborate to solve issues that support making informed decisions.</w:t>
            </w:r>
          </w:p>
          <w:p w:rsidR="004A2E3B" w:rsidRPr="009E68BE" w:rsidRDefault="004A2E3B" w:rsidP="004A2E3B">
            <w:pPr>
              <w:pStyle w:val="NormalWeb"/>
              <w:rPr>
                <w:rFonts w:ascii="Arial" w:hAnsi="Arial" w:cs="Arial"/>
                <w:sz w:val="18"/>
                <w:szCs w:val="18"/>
              </w:rPr>
            </w:pPr>
            <w:r w:rsidRPr="009E68BE">
              <w:rPr>
                <w:rFonts w:ascii="Arial" w:hAnsi="Arial" w:cs="Arial"/>
                <w:sz w:val="18"/>
                <w:szCs w:val="18"/>
              </w:rPr>
              <w:t xml:space="preserve">Social and emotional learning </w:t>
            </w:r>
            <w:r>
              <w:rPr>
                <w:rFonts w:ascii="Arial" w:hAnsi="Arial" w:cs="Arial"/>
                <w:sz w:val="18"/>
                <w:szCs w:val="18"/>
              </w:rPr>
              <w:t xml:space="preserve">is fostered by working with students when they are available, supporting reflection on next steps after an issue, and to support positive decision making. </w:t>
            </w:r>
            <w:r w:rsidRPr="009E68BE">
              <w:rPr>
                <w:rFonts w:ascii="Arial" w:hAnsi="Arial" w:cs="Arial"/>
                <w:sz w:val="18"/>
                <w:szCs w:val="18"/>
              </w:rPr>
              <w:t xml:space="preserve">Social and emotional learning is </w:t>
            </w:r>
            <w:r>
              <w:rPr>
                <w:rFonts w:ascii="Arial" w:hAnsi="Arial" w:cs="Arial"/>
                <w:sz w:val="18"/>
                <w:szCs w:val="18"/>
              </w:rPr>
              <w:t>essential to support students in becoming self-directed learners and engaged in the schooling process.</w:t>
            </w:r>
            <w:r w:rsidRPr="009E68BE">
              <w:rPr>
                <w:rFonts w:ascii="Arial" w:hAnsi="Arial" w:cs="Arial"/>
                <w:sz w:val="18"/>
                <w:szCs w:val="18"/>
              </w:rPr>
              <w:t xml:space="preserve"> </w:t>
            </w:r>
            <w:r>
              <w:rPr>
                <w:rFonts w:ascii="Arial" w:hAnsi="Arial" w:cs="Arial"/>
                <w:sz w:val="18"/>
                <w:szCs w:val="18"/>
              </w:rPr>
              <w:t>Student</w:t>
            </w:r>
            <w:r w:rsidRPr="009E68BE">
              <w:rPr>
                <w:rFonts w:ascii="Arial" w:hAnsi="Arial" w:cs="Arial"/>
                <w:sz w:val="18"/>
                <w:szCs w:val="18"/>
              </w:rPr>
              <w:t xml:space="preserve"> success in school and in life is reinforced as </w:t>
            </w:r>
            <w:r>
              <w:rPr>
                <w:rFonts w:ascii="Arial" w:hAnsi="Arial" w:cs="Arial"/>
                <w:sz w:val="18"/>
                <w:szCs w:val="18"/>
              </w:rPr>
              <w:t xml:space="preserve">when we supported </w:t>
            </w:r>
            <w:r w:rsidRPr="009E68BE">
              <w:rPr>
                <w:rFonts w:ascii="Arial" w:hAnsi="Arial" w:cs="Arial"/>
                <w:sz w:val="18"/>
                <w:szCs w:val="18"/>
              </w:rPr>
              <w:t>students develop the following skills:</w:t>
            </w:r>
          </w:p>
          <w:p w:rsidR="004A2E3B" w:rsidRPr="000B0CBF" w:rsidRDefault="004A2E3B" w:rsidP="004A2E3B">
            <w:pPr>
              <w:spacing w:before="100" w:beforeAutospacing="1" w:after="100" w:afterAutospacing="1"/>
              <w:rPr>
                <w:rFonts w:ascii="Arial" w:hAnsi="Arial" w:cs="Arial"/>
                <w:sz w:val="16"/>
                <w:szCs w:val="16"/>
              </w:rPr>
            </w:pPr>
            <w:r w:rsidRPr="000B0CBF">
              <w:rPr>
                <w:rStyle w:val="Strong"/>
                <w:rFonts w:ascii="Arial" w:hAnsi="Arial" w:cs="Arial"/>
                <w:sz w:val="16"/>
                <w:szCs w:val="16"/>
              </w:rPr>
              <w:t xml:space="preserve">Self-Awareness: </w:t>
            </w:r>
            <w:r w:rsidRPr="000B0CBF">
              <w:rPr>
                <w:rFonts w:ascii="Arial" w:hAnsi="Arial" w:cs="Arial"/>
                <w:sz w:val="16"/>
                <w:szCs w:val="16"/>
              </w:rPr>
              <w:t>identifying and recognizing emotions; accurate self-perception; recognizing strengths, needs, and values; self-efficacy (believing you have the ability to reach a goal)</w:t>
            </w:r>
          </w:p>
          <w:p w:rsidR="004A2E3B" w:rsidRPr="000B0CBF" w:rsidRDefault="004A2E3B" w:rsidP="004A2E3B">
            <w:pPr>
              <w:spacing w:before="100" w:beforeAutospacing="1" w:after="100" w:afterAutospacing="1"/>
              <w:rPr>
                <w:rFonts w:ascii="Arial" w:hAnsi="Arial" w:cs="Arial"/>
                <w:sz w:val="16"/>
                <w:szCs w:val="16"/>
              </w:rPr>
            </w:pPr>
            <w:r w:rsidRPr="000B0CBF">
              <w:rPr>
                <w:rStyle w:val="Strong"/>
                <w:rFonts w:ascii="Arial" w:hAnsi="Arial" w:cs="Arial"/>
                <w:sz w:val="16"/>
                <w:szCs w:val="16"/>
              </w:rPr>
              <w:t>Self-Management:</w:t>
            </w:r>
            <w:r w:rsidRPr="000B0CBF">
              <w:rPr>
                <w:rFonts w:ascii="Arial" w:hAnsi="Arial" w:cs="Arial"/>
                <w:sz w:val="16"/>
                <w:szCs w:val="16"/>
              </w:rPr>
              <w:t xml:space="preserve"> impulse control and stress management; self-motivation and discipline; goal setting and organizational skills</w:t>
            </w:r>
          </w:p>
          <w:p w:rsidR="004A2E3B" w:rsidRPr="000B0CBF" w:rsidRDefault="004A2E3B" w:rsidP="004A2E3B">
            <w:pPr>
              <w:spacing w:before="100" w:beforeAutospacing="1" w:after="100" w:afterAutospacing="1"/>
              <w:rPr>
                <w:rFonts w:ascii="Arial" w:hAnsi="Arial" w:cs="Arial"/>
                <w:sz w:val="16"/>
                <w:szCs w:val="16"/>
              </w:rPr>
            </w:pPr>
            <w:r w:rsidRPr="000B0CBF">
              <w:rPr>
                <w:rStyle w:val="Strong"/>
                <w:rFonts w:ascii="Arial" w:hAnsi="Arial" w:cs="Arial"/>
                <w:sz w:val="16"/>
                <w:szCs w:val="16"/>
              </w:rPr>
              <w:t>Social Awareness:</w:t>
            </w:r>
            <w:r w:rsidRPr="000B0CBF">
              <w:rPr>
                <w:rFonts w:ascii="Arial" w:hAnsi="Arial" w:cs="Arial"/>
                <w:sz w:val="16"/>
                <w:szCs w:val="16"/>
              </w:rPr>
              <w:t xml:space="preserve"> perspective taking; empathy; difference recognition; respect for others</w:t>
            </w:r>
          </w:p>
          <w:p w:rsidR="004A2E3B" w:rsidRPr="000B0CBF" w:rsidRDefault="004A2E3B" w:rsidP="004A2E3B">
            <w:pPr>
              <w:spacing w:before="100" w:beforeAutospacing="1" w:after="100" w:afterAutospacing="1"/>
              <w:rPr>
                <w:rFonts w:ascii="Arial" w:hAnsi="Arial" w:cs="Arial"/>
                <w:sz w:val="16"/>
                <w:szCs w:val="16"/>
              </w:rPr>
            </w:pPr>
            <w:r w:rsidRPr="000B0CBF">
              <w:rPr>
                <w:rStyle w:val="Strong"/>
                <w:rFonts w:ascii="Arial" w:hAnsi="Arial" w:cs="Arial"/>
                <w:sz w:val="16"/>
                <w:szCs w:val="16"/>
              </w:rPr>
              <w:t xml:space="preserve">Relationship Skills: </w:t>
            </w:r>
            <w:r w:rsidRPr="000B0CBF">
              <w:rPr>
                <w:rFonts w:ascii="Arial" w:hAnsi="Arial" w:cs="Arial"/>
                <w:sz w:val="16"/>
                <w:szCs w:val="16"/>
              </w:rPr>
              <w:t>communication, social engagement, and relationship building; working cooperatively; negotiation, refusal, and conflict management; help seeking</w:t>
            </w:r>
          </w:p>
          <w:p w:rsidR="00767BC1" w:rsidRPr="00767BC1" w:rsidRDefault="004A2E3B" w:rsidP="00767BC1">
            <w:pPr>
              <w:spacing w:before="100" w:beforeAutospacing="1" w:after="100" w:afterAutospacing="1"/>
              <w:rPr>
                <w:rFonts w:ascii="Arial" w:hAnsi="Arial" w:cs="Arial"/>
                <w:sz w:val="16"/>
                <w:szCs w:val="16"/>
              </w:rPr>
            </w:pPr>
            <w:r w:rsidRPr="000B0CBF">
              <w:rPr>
                <w:rStyle w:val="Strong"/>
                <w:rFonts w:ascii="Arial" w:hAnsi="Arial" w:cs="Arial"/>
                <w:sz w:val="16"/>
                <w:szCs w:val="16"/>
              </w:rPr>
              <w:t>Responsible Decision-making:</w:t>
            </w:r>
            <w:r w:rsidRPr="000B0CBF">
              <w:rPr>
                <w:rFonts w:ascii="Arial" w:hAnsi="Arial" w:cs="Arial"/>
                <w:sz w:val="16"/>
                <w:szCs w:val="16"/>
              </w:rPr>
              <w:t xml:space="preserve"> problem identification and situation analysis; problem solving; evaluation and reflection; personal, social, and ethical responsibility.</w:t>
            </w:r>
          </w:p>
        </w:tc>
        <w:tc>
          <w:tcPr>
            <w:tcW w:w="2585" w:type="dxa"/>
          </w:tcPr>
          <w:p w:rsidR="002A343B" w:rsidRDefault="002A343B"/>
        </w:tc>
        <w:tc>
          <w:tcPr>
            <w:tcW w:w="2375" w:type="dxa"/>
          </w:tcPr>
          <w:p w:rsidR="002A343B" w:rsidRDefault="002A343B"/>
        </w:tc>
      </w:tr>
      <w:tr w:rsidR="002A343B" w:rsidTr="00767BC1">
        <w:tc>
          <w:tcPr>
            <w:tcW w:w="4821" w:type="dxa"/>
          </w:tcPr>
          <w:p w:rsidR="002A343B" w:rsidRPr="00767BC1" w:rsidRDefault="002A343B">
            <w:pPr>
              <w:rPr>
                <w:b/>
                <w:sz w:val="18"/>
                <w:szCs w:val="18"/>
              </w:rPr>
            </w:pPr>
            <w:r w:rsidRPr="00767BC1">
              <w:rPr>
                <w:b/>
                <w:sz w:val="18"/>
                <w:szCs w:val="18"/>
              </w:rPr>
              <w:t>CTF Programming</w:t>
            </w:r>
          </w:p>
          <w:p w:rsidR="00987CB0" w:rsidRPr="00767BC1" w:rsidRDefault="00987CB0" w:rsidP="00987CB0">
            <w:pPr>
              <w:rPr>
                <w:rFonts w:ascii="Arial" w:hAnsi="Arial" w:cs="Arial"/>
                <w:sz w:val="18"/>
                <w:szCs w:val="18"/>
                <w:lang w:val="en-CA"/>
              </w:rPr>
            </w:pPr>
            <w:r w:rsidRPr="00767BC1">
              <w:rPr>
                <w:rFonts w:ascii="Arial" w:hAnsi="Arial" w:cs="Arial"/>
                <w:sz w:val="18"/>
                <w:szCs w:val="18"/>
                <w:lang w:val="en-CA"/>
              </w:rPr>
              <w:t>Exploratory opportunity for students, through an inquiry process, to explore their passions and interest and to form a glimpse of career</w:t>
            </w:r>
            <w:r w:rsidR="00EB4B07">
              <w:rPr>
                <w:rFonts w:ascii="Arial" w:hAnsi="Arial" w:cs="Arial"/>
                <w:sz w:val="18"/>
                <w:szCs w:val="18"/>
                <w:lang w:val="en-CA"/>
              </w:rPr>
              <w:t>/workplace</w:t>
            </w:r>
            <w:r w:rsidRPr="00767BC1">
              <w:rPr>
                <w:rFonts w:ascii="Arial" w:hAnsi="Arial" w:cs="Arial"/>
                <w:sz w:val="18"/>
                <w:szCs w:val="18"/>
                <w:lang w:val="en-CA"/>
              </w:rPr>
              <w:t xml:space="preserve"> possibilities.</w:t>
            </w:r>
          </w:p>
          <w:p w:rsidR="00987CB0"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 xml:space="preserve">Providing multiple areas and opportunities for students to explore personal areas of interest </w:t>
            </w:r>
          </w:p>
          <w:p w:rsidR="00987CB0"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 xml:space="preserve">Focused on skills, technology and personal career connections development. </w:t>
            </w:r>
          </w:p>
          <w:p w:rsidR="00987CB0"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Focused on building 21st Century Competencies.</w:t>
            </w:r>
          </w:p>
          <w:p w:rsidR="00987CB0"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Building Inquiry skills capacity in students.</w:t>
            </w:r>
          </w:p>
          <w:p w:rsidR="00987CB0"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Build in positive mentorship and networking between “experts” in the related field.</w:t>
            </w:r>
          </w:p>
          <w:p w:rsidR="00987CB0"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Mentorship connections fostered through personal contacts, advertising in the community and a sign up spot on the school Website.</w:t>
            </w:r>
          </w:p>
          <w:p w:rsidR="00987CB0"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Development of school resources to support projects such as the Maker Lab.</w:t>
            </w:r>
          </w:p>
          <w:p w:rsidR="002A343B" w:rsidRPr="00767BC1" w:rsidRDefault="00987CB0" w:rsidP="00987CB0">
            <w:pPr>
              <w:numPr>
                <w:ilvl w:val="0"/>
                <w:numId w:val="8"/>
              </w:numPr>
              <w:spacing w:before="100" w:beforeAutospacing="1" w:after="100" w:afterAutospacing="1"/>
              <w:rPr>
                <w:rFonts w:ascii="Arial" w:hAnsi="Arial" w:cs="Arial"/>
                <w:sz w:val="18"/>
                <w:szCs w:val="18"/>
              </w:rPr>
            </w:pPr>
            <w:r w:rsidRPr="00767BC1">
              <w:rPr>
                <w:rFonts w:ascii="Arial" w:hAnsi="Arial" w:cs="Arial"/>
                <w:sz w:val="18"/>
                <w:szCs w:val="18"/>
              </w:rPr>
              <w:t>Field Trips to expose students to postsecondary and career possibilities.</w:t>
            </w:r>
          </w:p>
        </w:tc>
        <w:tc>
          <w:tcPr>
            <w:tcW w:w="2585" w:type="dxa"/>
          </w:tcPr>
          <w:p w:rsidR="002A343B" w:rsidRDefault="002A343B"/>
        </w:tc>
        <w:tc>
          <w:tcPr>
            <w:tcW w:w="2375" w:type="dxa"/>
          </w:tcPr>
          <w:p w:rsidR="002A343B" w:rsidRDefault="002A343B"/>
        </w:tc>
      </w:tr>
      <w:tr w:rsidR="002A343B" w:rsidTr="00767BC1">
        <w:tc>
          <w:tcPr>
            <w:tcW w:w="4821" w:type="dxa"/>
          </w:tcPr>
          <w:p w:rsidR="002A343B" w:rsidRDefault="002A343B">
            <w:pPr>
              <w:rPr>
                <w:b/>
              </w:rPr>
            </w:pPr>
            <w:r w:rsidRPr="002A343B">
              <w:rPr>
                <w:b/>
              </w:rPr>
              <w:lastRenderedPageBreak/>
              <w:t>School Culture</w:t>
            </w:r>
          </w:p>
          <w:p w:rsidR="007E2100" w:rsidRDefault="007E2100" w:rsidP="007E2100">
            <w:pPr>
              <w:pStyle w:val="BodyText"/>
              <w:spacing w:line="250" w:lineRule="auto"/>
              <w:ind w:right="367"/>
              <w:rPr>
                <w:b w:val="0"/>
                <w:sz w:val="18"/>
                <w:szCs w:val="18"/>
              </w:rPr>
            </w:pPr>
            <w:r>
              <w:rPr>
                <w:b w:val="0"/>
                <w:sz w:val="18"/>
                <w:szCs w:val="18"/>
              </w:rPr>
              <w:t xml:space="preserve">This year, Mitford has implemented a house program, intended to build positive school culture and a sense of belonging and community. Every member of our school belongs to one of the following houses: </w:t>
            </w:r>
          </w:p>
          <w:p w:rsidR="007E2100" w:rsidRDefault="007E2100" w:rsidP="007E2100">
            <w:pPr>
              <w:pStyle w:val="BodyText"/>
              <w:numPr>
                <w:ilvl w:val="0"/>
                <w:numId w:val="2"/>
              </w:numPr>
              <w:spacing w:line="250" w:lineRule="auto"/>
              <w:ind w:right="367"/>
              <w:rPr>
                <w:b w:val="0"/>
                <w:sz w:val="18"/>
                <w:szCs w:val="18"/>
              </w:rPr>
            </w:pPr>
            <w:r>
              <w:rPr>
                <w:b w:val="0"/>
                <w:sz w:val="18"/>
                <w:szCs w:val="18"/>
              </w:rPr>
              <w:t>White Wolf</w:t>
            </w:r>
          </w:p>
          <w:p w:rsidR="007E2100" w:rsidRDefault="007E2100" w:rsidP="007E2100">
            <w:pPr>
              <w:pStyle w:val="BodyText"/>
              <w:numPr>
                <w:ilvl w:val="0"/>
                <w:numId w:val="2"/>
              </w:numPr>
              <w:spacing w:line="250" w:lineRule="auto"/>
              <w:ind w:right="367"/>
              <w:rPr>
                <w:b w:val="0"/>
                <w:sz w:val="18"/>
                <w:szCs w:val="18"/>
              </w:rPr>
            </w:pPr>
            <w:r>
              <w:rPr>
                <w:b w:val="0"/>
                <w:sz w:val="18"/>
                <w:szCs w:val="18"/>
              </w:rPr>
              <w:t xml:space="preserve">Yellow Grizzly </w:t>
            </w:r>
          </w:p>
          <w:p w:rsidR="007E2100" w:rsidRDefault="007E2100" w:rsidP="007E2100">
            <w:pPr>
              <w:pStyle w:val="BodyText"/>
              <w:numPr>
                <w:ilvl w:val="0"/>
                <w:numId w:val="2"/>
              </w:numPr>
              <w:spacing w:line="250" w:lineRule="auto"/>
              <w:ind w:right="367"/>
              <w:rPr>
                <w:b w:val="0"/>
                <w:sz w:val="18"/>
                <w:szCs w:val="18"/>
              </w:rPr>
            </w:pPr>
            <w:r>
              <w:rPr>
                <w:b w:val="0"/>
                <w:sz w:val="18"/>
                <w:szCs w:val="18"/>
              </w:rPr>
              <w:t xml:space="preserve">Black Raven </w:t>
            </w:r>
          </w:p>
          <w:p w:rsidR="007E2100" w:rsidRDefault="007E2100" w:rsidP="007E2100">
            <w:pPr>
              <w:pStyle w:val="BodyText"/>
              <w:numPr>
                <w:ilvl w:val="0"/>
                <w:numId w:val="2"/>
              </w:numPr>
              <w:spacing w:line="250" w:lineRule="auto"/>
              <w:ind w:right="367"/>
              <w:rPr>
                <w:b w:val="0"/>
                <w:sz w:val="18"/>
                <w:szCs w:val="18"/>
              </w:rPr>
            </w:pPr>
            <w:r>
              <w:rPr>
                <w:b w:val="0"/>
                <w:sz w:val="18"/>
                <w:szCs w:val="18"/>
              </w:rPr>
              <w:t xml:space="preserve">Red Fox. </w:t>
            </w:r>
          </w:p>
          <w:p w:rsidR="007E2100" w:rsidRPr="00820D80" w:rsidRDefault="007E2100" w:rsidP="007E2100">
            <w:pPr>
              <w:pStyle w:val="BodyText"/>
              <w:spacing w:line="250" w:lineRule="auto"/>
              <w:ind w:right="367"/>
              <w:rPr>
                <w:b w:val="0"/>
                <w:sz w:val="18"/>
                <w:szCs w:val="18"/>
              </w:rPr>
            </w:pPr>
            <w:r w:rsidRPr="00820D80">
              <w:rPr>
                <w:b w:val="0"/>
                <w:sz w:val="18"/>
                <w:szCs w:val="18"/>
              </w:rPr>
              <w:t>Members can be awarded points (</w:t>
            </w:r>
            <w:proofErr w:type="spellStart"/>
            <w:r w:rsidRPr="00820D80">
              <w:rPr>
                <w:b w:val="0"/>
                <w:sz w:val="18"/>
                <w:szCs w:val="18"/>
              </w:rPr>
              <w:t>coloured</w:t>
            </w:r>
            <w:proofErr w:type="spellEnd"/>
            <w:r w:rsidRPr="00820D80">
              <w:rPr>
                <w:b w:val="0"/>
                <w:sz w:val="18"/>
                <w:szCs w:val="18"/>
              </w:rPr>
              <w:t xml:space="preserve"> beads) for a variety of reasons, including, but not limited to</w:t>
            </w:r>
            <w:r>
              <w:rPr>
                <w:b w:val="0"/>
                <w:sz w:val="18"/>
                <w:szCs w:val="18"/>
              </w:rPr>
              <w:t>,</w:t>
            </w:r>
            <w:r w:rsidRPr="00820D80">
              <w:rPr>
                <w:b w:val="0"/>
                <w:sz w:val="18"/>
                <w:szCs w:val="18"/>
              </w:rPr>
              <w:t xml:space="preserve"> the following:</w:t>
            </w:r>
          </w:p>
          <w:p w:rsidR="007E2100" w:rsidRDefault="007E2100" w:rsidP="007E2100">
            <w:pPr>
              <w:pStyle w:val="BodyText"/>
              <w:numPr>
                <w:ilvl w:val="0"/>
                <w:numId w:val="1"/>
              </w:numPr>
              <w:spacing w:line="250" w:lineRule="auto"/>
              <w:ind w:right="367"/>
              <w:rPr>
                <w:b w:val="0"/>
                <w:sz w:val="18"/>
                <w:szCs w:val="18"/>
              </w:rPr>
            </w:pPr>
            <w:r>
              <w:rPr>
                <w:b w:val="0"/>
                <w:sz w:val="18"/>
                <w:szCs w:val="18"/>
              </w:rPr>
              <w:t>Leadership</w:t>
            </w:r>
          </w:p>
          <w:p w:rsidR="007E2100" w:rsidRDefault="007E2100" w:rsidP="007E2100">
            <w:pPr>
              <w:pStyle w:val="BodyText"/>
              <w:numPr>
                <w:ilvl w:val="0"/>
                <w:numId w:val="1"/>
              </w:numPr>
              <w:spacing w:line="250" w:lineRule="auto"/>
              <w:ind w:right="367"/>
              <w:rPr>
                <w:b w:val="0"/>
                <w:sz w:val="18"/>
                <w:szCs w:val="18"/>
              </w:rPr>
            </w:pPr>
            <w:r>
              <w:rPr>
                <w:b w:val="0"/>
                <w:sz w:val="18"/>
                <w:szCs w:val="18"/>
              </w:rPr>
              <w:t>Participation in school events (</w:t>
            </w:r>
            <w:proofErr w:type="spellStart"/>
            <w:r>
              <w:rPr>
                <w:b w:val="0"/>
                <w:sz w:val="18"/>
                <w:szCs w:val="18"/>
              </w:rPr>
              <w:t>eg</w:t>
            </w:r>
            <w:proofErr w:type="spellEnd"/>
            <w:r>
              <w:rPr>
                <w:b w:val="0"/>
                <w:sz w:val="18"/>
                <w:szCs w:val="18"/>
              </w:rPr>
              <w:t>. Intramurals, team activities)</w:t>
            </w:r>
          </w:p>
          <w:p w:rsidR="007E2100" w:rsidRPr="00820D80" w:rsidRDefault="007E2100" w:rsidP="007E2100">
            <w:pPr>
              <w:pStyle w:val="BodyText"/>
              <w:numPr>
                <w:ilvl w:val="0"/>
                <w:numId w:val="1"/>
              </w:numPr>
              <w:spacing w:line="250" w:lineRule="auto"/>
              <w:ind w:right="367"/>
              <w:rPr>
                <w:b w:val="0"/>
                <w:sz w:val="18"/>
                <w:szCs w:val="18"/>
              </w:rPr>
            </w:pPr>
            <w:r>
              <w:rPr>
                <w:b w:val="0"/>
                <w:sz w:val="18"/>
                <w:szCs w:val="18"/>
              </w:rPr>
              <w:t>Acts of service/citizenship</w:t>
            </w:r>
          </w:p>
          <w:p w:rsidR="007E2100" w:rsidRDefault="007E2100" w:rsidP="007E2100">
            <w:pPr>
              <w:pStyle w:val="BodyText"/>
              <w:numPr>
                <w:ilvl w:val="0"/>
                <w:numId w:val="1"/>
              </w:numPr>
              <w:spacing w:line="250" w:lineRule="auto"/>
              <w:ind w:right="367"/>
              <w:rPr>
                <w:b w:val="0"/>
                <w:sz w:val="18"/>
                <w:szCs w:val="18"/>
              </w:rPr>
            </w:pPr>
            <w:r>
              <w:rPr>
                <w:b w:val="0"/>
                <w:sz w:val="18"/>
                <w:szCs w:val="18"/>
              </w:rPr>
              <w:t>Kindness/respect/caring/compassion</w:t>
            </w:r>
          </w:p>
          <w:p w:rsidR="007E2100" w:rsidRDefault="007E2100" w:rsidP="007E2100">
            <w:pPr>
              <w:pStyle w:val="BodyText"/>
              <w:numPr>
                <w:ilvl w:val="0"/>
                <w:numId w:val="1"/>
              </w:numPr>
              <w:spacing w:line="250" w:lineRule="auto"/>
              <w:ind w:right="367"/>
              <w:rPr>
                <w:b w:val="0"/>
                <w:sz w:val="18"/>
                <w:szCs w:val="18"/>
              </w:rPr>
            </w:pPr>
            <w:r>
              <w:rPr>
                <w:b w:val="0"/>
                <w:sz w:val="18"/>
                <w:szCs w:val="18"/>
              </w:rPr>
              <w:t>Effort &amp; Perseverance – working extraordinarily hard towards goals</w:t>
            </w:r>
          </w:p>
          <w:p w:rsidR="007E2100" w:rsidRDefault="007E2100" w:rsidP="007E2100">
            <w:pPr>
              <w:pStyle w:val="BodyText"/>
              <w:numPr>
                <w:ilvl w:val="0"/>
                <w:numId w:val="1"/>
              </w:numPr>
              <w:spacing w:line="250" w:lineRule="auto"/>
              <w:ind w:right="367"/>
              <w:rPr>
                <w:b w:val="0"/>
                <w:sz w:val="18"/>
                <w:szCs w:val="18"/>
              </w:rPr>
            </w:pPr>
            <w:r>
              <w:rPr>
                <w:b w:val="0"/>
                <w:sz w:val="18"/>
                <w:szCs w:val="18"/>
              </w:rPr>
              <w:t>Responsibility</w:t>
            </w:r>
          </w:p>
          <w:p w:rsidR="007E2100" w:rsidRPr="00DB4118" w:rsidRDefault="007E2100" w:rsidP="007E2100">
            <w:pPr>
              <w:pStyle w:val="BodyText"/>
              <w:numPr>
                <w:ilvl w:val="0"/>
                <w:numId w:val="1"/>
              </w:numPr>
              <w:spacing w:line="250" w:lineRule="auto"/>
              <w:ind w:right="367"/>
              <w:rPr>
                <w:b w:val="0"/>
                <w:sz w:val="18"/>
                <w:szCs w:val="18"/>
              </w:rPr>
            </w:pPr>
            <w:r>
              <w:rPr>
                <w:b w:val="0"/>
                <w:sz w:val="18"/>
                <w:szCs w:val="18"/>
              </w:rPr>
              <w:t>Fairness</w:t>
            </w:r>
          </w:p>
          <w:p w:rsidR="007E2100" w:rsidRPr="004764C7" w:rsidRDefault="007E2100" w:rsidP="007E2100">
            <w:pPr>
              <w:pStyle w:val="BodyText"/>
              <w:spacing w:line="250" w:lineRule="auto"/>
              <w:ind w:right="367"/>
              <w:rPr>
                <w:b w:val="0"/>
                <w:sz w:val="18"/>
                <w:szCs w:val="18"/>
              </w:rPr>
            </w:pPr>
            <w:r>
              <w:rPr>
                <w:b w:val="0"/>
                <w:sz w:val="18"/>
                <w:szCs w:val="18"/>
                <w:lang w:val="en-CA"/>
              </w:rPr>
              <w:t>The house program is building momentum and will continue to grow into the following years as members continue to take ownership and responsibility for their school community.</w:t>
            </w:r>
          </w:p>
          <w:p w:rsidR="002A343B" w:rsidRPr="002A343B" w:rsidRDefault="002A343B">
            <w:pPr>
              <w:rPr>
                <w:b/>
              </w:rPr>
            </w:pPr>
          </w:p>
        </w:tc>
        <w:tc>
          <w:tcPr>
            <w:tcW w:w="2585" w:type="dxa"/>
          </w:tcPr>
          <w:p w:rsidR="002A343B" w:rsidRDefault="002A343B"/>
        </w:tc>
        <w:tc>
          <w:tcPr>
            <w:tcW w:w="2375" w:type="dxa"/>
          </w:tcPr>
          <w:p w:rsidR="002A343B" w:rsidRDefault="002A343B"/>
        </w:tc>
      </w:tr>
      <w:tr w:rsidR="002A343B" w:rsidTr="00767BC1">
        <w:tc>
          <w:tcPr>
            <w:tcW w:w="4821" w:type="dxa"/>
          </w:tcPr>
          <w:p w:rsidR="002A343B" w:rsidRDefault="002A343B">
            <w:pPr>
              <w:rPr>
                <w:b/>
              </w:rPr>
            </w:pPr>
            <w:r>
              <w:rPr>
                <w:b/>
              </w:rPr>
              <w:t>Future Programs parents would like to see at Mitford School.</w:t>
            </w:r>
          </w:p>
          <w:p w:rsidR="00987CB0" w:rsidRDefault="00987CB0">
            <w:pPr>
              <w:rPr>
                <w:b/>
              </w:rPr>
            </w:pPr>
          </w:p>
          <w:p w:rsidR="00987CB0" w:rsidRDefault="00987CB0">
            <w:pPr>
              <w:rPr>
                <w:b/>
              </w:rPr>
            </w:pPr>
          </w:p>
          <w:p w:rsidR="00987CB0" w:rsidRDefault="00987CB0">
            <w:pPr>
              <w:rPr>
                <w:b/>
              </w:rPr>
            </w:pPr>
          </w:p>
          <w:p w:rsidR="00987CB0" w:rsidRDefault="00987CB0">
            <w:pPr>
              <w:rPr>
                <w:b/>
              </w:rPr>
            </w:pPr>
          </w:p>
          <w:p w:rsidR="00987CB0" w:rsidRDefault="00987CB0">
            <w:pPr>
              <w:rPr>
                <w:b/>
              </w:rPr>
            </w:pPr>
          </w:p>
          <w:p w:rsidR="00987CB0" w:rsidRDefault="00987CB0">
            <w:pPr>
              <w:rPr>
                <w:b/>
              </w:rPr>
            </w:pPr>
          </w:p>
          <w:p w:rsidR="00987CB0" w:rsidRDefault="00987CB0">
            <w:pPr>
              <w:rPr>
                <w:b/>
              </w:rPr>
            </w:pPr>
          </w:p>
          <w:p w:rsidR="00987CB0" w:rsidRDefault="00987CB0">
            <w:pPr>
              <w:rPr>
                <w:b/>
              </w:rPr>
            </w:pPr>
          </w:p>
          <w:p w:rsidR="00987CB0" w:rsidRDefault="00987CB0">
            <w:pPr>
              <w:rPr>
                <w:b/>
              </w:rPr>
            </w:pPr>
          </w:p>
          <w:p w:rsidR="00EB4B07" w:rsidRDefault="00EB4B07">
            <w:pPr>
              <w:rPr>
                <w:b/>
              </w:rPr>
            </w:pPr>
          </w:p>
          <w:p w:rsidR="00EB4B07" w:rsidRDefault="00EB4B07">
            <w:pPr>
              <w:rPr>
                <w:b/>
              </w:rPr>
            </w:pPr>
          </w:p>
          <w:p w:rsidR="00EB4B07" w:rsidRDefault="00EB4B07">
            <w:pPr>
              <w:rPr>
                <w:b/>
              </w:rPr>
            </w:pPr>
          </w:p>
          <w:p w:rsidR="00EB4B07" w:rsidRDefault="00EB4B07">
            <w:pPr>
              <w:rPr>
                <w:b/>
              </w:rPr>
            </w:pPr>
          </w:p>
          <w:p w:rsidR="00EB4B07" w:rsidRDefault="00EB4B07">
            <w:pPr>
              <w:rPr>
                <w:b/>
              </w:rPr>
            </w:pPr>
          </w:p>
          <w:p w:rsidR="00EB4B07" w:rsidRDefault="00EB4B07">
            <w:pPr>
              <w:rPr>
                <w:b/>
              </w:rPr>
            </w:pPr>
          </w:p>
          <w:p w:rsidR="00EB4B07" w:rsidRDefault="00EB4B07">
            <w:pPr>
              <w:rPr>
                <w:b/>
              </w:rPr>
            </w:pPr>
          </w:p>
          <w:p w:rsidR="00EB4B07" w:rsidRDefault="00EB4B07">
            <w:pPr>
              <w:rPr>
                <w:b/>
              </w:rPr>
            </w:pPr>
          </w:p>
          <w:p w:rsidR="00987CB0" w:rsidRPr="002A343B" w:rsidRDefault="00987CB0">
            <w:pPr>
              <w:rPr>
                <w:b/>
              </w:rPr>
            </w:pPr>
          </w:p>
        </w:tc>
        <w:tc>
          <w:tcPr>
            <w:tcW w:w="2585" w:type="dxa"/>
          </w:tcPr>
          <w:p w:rsidR="002A343B" w:rsidRDefault="002A343B"/>
        </w:tc>
        <w:tc>
          <w:tcPr>
            <w:tcW w:w="2375" w:type="dxa"/>
          </w:tcPr>
          <w:p w:rsidR="002A343B" w:rsidRDefault="002A343B"/>
        </w:tc>
      </w:tr>
    </w:tbl>
    <w:p w:rsidR="002A343B" w:rsidRDefault="002A343B"/>
    <w:sectPr w:rsidR="002A343B" w:rsidSect="00846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FD1"/>
    <w:multiLevelType w:val="hybridMultilevel"/>
    <w:tmpl w:val="0AFA8AD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B040BD8"/>
    <w:multiLevelType w:val="hybridMultilevel"/>
    <w:tmpl w:val="1F6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516F"/>
    <w:multiLevelType w:val="hybridMultilevel"/>
    <w:tmpl w:val="44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255"/>
    <w:multiLevelType w:val="multilevel"/>
    <w:tmpl w:val="92228EF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3A6F6AFF"/>
    <w:multiLevelType w:val="hybridMultilevel"/>
    <w:tmpl w:val="7EC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801B5"/>
    <w:multiLevelType w:val="hybridMultilevel"/>
    <w:tmpl w:val="699275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4AD05BDA"/>
    <w:multiLevelType w:val="hybridMultilevel"/>
    <w:tmpl w:val="F8A2DF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6ACC70FB"/>
    <w:multiLevelType w:val="hybridMultilevel"/>
    <w:tmpl w:val="49246D1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3B"/>
    <w:rsid w:val="001A1B9E"/>
    <w:rsid w:val="002A343B"/>
    <w:rsid w:val="004A2E3B"/>
    <w:rsid w:val="00564F84"/>
    <w:rsid w:val="00767BC1"/>
    <w:rsid w:val="007E2100"/>
    <w:rsid w:val="00846815"/>
    <w:rsid w:val="008E597B"/>
    <w:rsid w:val="00977453"/>
    <w:rsid w:val="00987CB0"/>
    <w:rsid w:val="00A803E6"/>
    <w:rsid w:val="00EB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C47F64D-B653-5E4A-B58A-EF680151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2100"/>
    <w:rPr>
      <w:rFonts w:ascii="Arial" w:eastAsia="Times New Roman" w:hAnsi="Arial" w:cs="Times New Roman"/>
      <w:b/>
    </w:rPr>
  </w:style>
  <w:style w:type="character" w:customStyle="1" w:styleId="BodyTextChar">
    <w:name w:val="Body Text Char"/>
    <w:basedOn w:val="DefaultParagraphFont"/>
    <w:link w:val="BodyText"/>
    <w:uiPriority w:val="1"/>
    <w:rsid w:val="007E2100"/>
    <w:rPr>
      <w:rFonts w:ascii="Arial" w:eastAsia="Times New Roman" w:hAnsi="Arial" w:cs="Times New Roman"/>
      <w:b/>
    </w:rPr>
  </w:style>
  <w:style w:type="paragraph" w:styleId="NormalWeb">
    <w:name w:val="Normal (Web)"/>
    <w:basedOn w:val="Normal"/>
    <w:uiPriority w:val="99"/>
    <w:unhideWhenUsed/>
    <w:rsid w:val="004A2E3B"/>
    <w:pPr>
      <w:spacing w:before="100" w:beforeAutospacing="1" w:after="100" w:afterAutospacing="1"/>
    </w:pPr>
    <w:rPr>
      <w:rFonts w:ascii="Times New Roman" w:eastAsia="Times New Roman" w:hAnsi="Times New Roman" w:cs="Times New Roman"/>
      <w:lang w:val="en-CA"/>
    </w:rPr>
  </w:style>
  <w:style w:type="character" w:styleId="Strong">
    <w:name w:val="Strong"/>
    <w:uiPriority w:val="22"/>
    <w:qFormat/>
    <w:rsid w:val="004A2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Dutchik</dc:creator>
  <cp:keywords/>
  <dc:description/>
  <cp:lastModifiedBy>Heather Knox</cp:lastModifiedBy>
  <cp:revision>2</cp:revision>
  <dcterms:created xsi:type="dcterms:W3CDTF">2018-05-03T13:40:00Z</dcterms:created>
  <dcterms:modified xsi:type="dcterms:W3CDTF">2018-05-03T13:40:00Z</dcterms:modified>
</cp:coreProperties>
</file>